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B0C92" w14:textId="77777777" w:rsidR="009447BB" w:rsidRPr="008A2D44" w:rsidRDefault="009447BB" w:rsidP="009447BB">
      <w:pPr>
        <w:pStyle w:val="Titolo2"/>
        <w:jc w:val="center"/>
        <w:rPr>
          <w:sz w:val="52"/>
          <w:szCs w:val="52"/>
        </w:rPr>
      </w:pPr>
      <w:r w:rsidRPr="008A2D44">
        <w:rPr>
          <w:sz w:val="52"/>
          <w:szCs w:val="52"/>
        </w:rPr>
        <w:t xml:space="preserve">COMUNE DI </w:t>
      </w:r>
      <w:r>
        <w:rPr>
          <w:sz w:val="52"/>
          <w:szCs w:val="52"/>
        </w:rPr>
        <w:t>MANDELLO VITTA</w:t>
      </w:r>
    </w:p>
    <w:p w14:paraId="1F6DFDA1" w14:textId="77777777" w:rsidR="009447BB" w:rsidRPr="008A2D44" w:rsidRDefault="009447BB" w:rsidP="009447BB"/>
    <w:p w14:paraId="59A7D2FE" w14:textId="77777777" w:rsidR="009447BB" w:rsidRDefault="009447BB" w:rsidP="009447BB">
      <w:pPr>
        <w:rPr>
          <w:rFonts w:ascii="Arial" w:hAnsi="Arial"/>
          <w:color w:val="808080"/>
          <w:sz w:val="16"/>
        </w:rPr>
      </w:pPr>
    </w:p>
    <w:p w14:paraId="16563B62" w14:textId="77777777" w:rsidR="009447BB" w:rsidRDefault="009447BB" w:rsidP="009447BB">
      <w:pPr>
        <w:tabs>
          <w:tab w:val="left" w:pos="780"/>
        </w:tabs>
        <w:rPr>
          <w:rFonts w:ascii="Arial" w:hAnsi="Arial"/>
          <w:color w:val="808080"/>
          <w:sz w:val="16"/>
        </w:rPr>
      </w:pPr>
      <w:r>
        <w:rPr>
          <w:rFonts w:ascii="Arial" w:hAnsi="Arial"/>
          <w:color w:val="808080"/>
          <w:sz w:val="16"/>
        </w:rPr>
        <w:tab/>
      </w:r>
    </w:p>
    <w:p w14:paraId="0530E1AB" w14:textId="77777777" w:rsidR="009447BB" w:rsidRPr="00963E7E" w:rsidRDefault="009447BB" w:rsidP="009447BB">
      <w:pPr>
        <w:pStyle w:val="Titolo3"/>
        <w:keepNext w:val="0"/>
        <w:rPr>
          <w:rFonts w:ascii="Tahoma" w:hAnsi="Tahoma" w:cs="Tahoma"/>
          <w:b w:val="0"/>
          <w:sz w:val="24"/>
        </w:rPr>
      </w:pPr>
      <w:r w:rsidRPr="00963E7E">
        <w:rPr>
          <w:rFonts w:ascii="Tahoma" w:hAnsi="Tahoma" w:cs="Tahoma"/>
          <w:b w:val="0"/>
          <w:sz w:val="24"/>
        </w:rPr>
        <w:t>PARERE DEL RESPONSABILE DEL SERVIZIO FINANZIARIO</w:t>
      </w:r>
    </w:p>
    <w:p w14:paraId="3F4E000A" w14:textId="77777777" w:rsidR="009447BB" w:rsidRPr="00963E7E" w:rsidRDefault="009447BB" w:rsidP="009447BB">
      <w:pPr>
        <w:pStyle w:val="NormaleWeb"/>
        <w:spacing w:after="0" w:line="240" w:lineRule="auto"/>
        <w:jc w:val="center"/>
        <w:rPr>
          <w:rFonts w:ascii="Tahoma" w:hAnsi="Tahoma" w:cs="Tahoma"/>
          <w:b/>
        </w:rPr>
      </w:pPr>
      <w:r w:rsidRPr="00963E7E">
        <w:rPr>
          <w:rFonts w:ascii="Tahoma" w:hAnsi="Tahoma" w:cs="Tahoma"/>
        </w:rPr>
        <w:t>“</w:t>
      </w:r>
      <w:r>
        <w:rPr>
          <w:rFonts w:ascii="Tahoma" w:hAnsi="Tahoma" w:cs="Tahoma"/>
        </w:rPr>
        <w:t>Riaccertamento dei residui attivi e passivi alla data del 31/12/2020”</w:t>
      </w:r>
    </w:p>
    <w:p w14:paraId="2E644BD6" w14:textId="77777777" w:rsidR="009447BB" w:rsidRDefault="009447BB" w:rsidP="009447BB">
      <w:pPr>
        <w:spacing w:before="100" w:beforeAutospacing="1"/>
        <w:jc w:val="both"/>
      </w:pPr>
      <w:r>
        <w:rPr>
          <w:rFonts w:ascii="Tahoma" w:hAnsi="Tahoma" w:cs="Tahoma"/>
        </w:rPr>
        <w:t>Premesso che ai sensi dell’art. 228, comma 3, del T.U. sull’ordinamento degli enti locali approvato con D.Lgs. n. 267 del 18 agosto 2000 occorre effettuare, prima dell’inserimento nel conto del bilancio dei residui attivi e passivi, l’operazione di riaccertamento degli stessi, attraverso la revisione delle ragioni del mantenimento, in tutto o in parte, dei residui;</w:t>
      </w:r>
    </w:p>
    <w:p w14:paraId="58BE202A" w14:textId="77777777" w:rsidR="009447BB" w:rsidRDefault="009447BB" w:rsidP="009447BB">
      <w:pPr>
        <w:spacing w:before="100" w:beforeAutospacing="1"/>
        <w:jc w:val="both"/>
      </w:pPr>
      <w:r>
        <w:rPr>
          <w:rFonts w:ascii="Tahoma" w:hAnsi="Tahoma" w:cs="Tahoma"/>
        </w:rPr>
        <w:t>Rilevato che, ai sensi dell’art.3, comma 4, del D.lgs 118/2011 “Possono essere conservati tra i residui attivi le entrate accertate esigibili nell’esercizio di riferimento, ma non incassate. Possono essere conservate tra i residui passivi le spese impegnate, liquidate o liquidabili nel corso di tale esercizio, ma non pagate. Le entrate e le spese accertate e impegnate non esigibili nell’esercizio considerato, sono immediatamente re-imputate all’esercizio in cui sono esigibili”;</w:t>
      </w:r>
    </w:p>
    <w:p w14:paraId="10E4D9C8" w14:textId="77777777" w:rsidR="009447BB" w:rsidRDefault="009447BB" w:rsidP="009447BB">
      <w:pPr>
        <w:spacing w:before="100" w:beforeAutospacing="1"/>
        <w:jc w:val="both"/>
      </w:pPr>
      <w:r>
        <w:rPr>
          <w:rFonts w:ascii="Tahoma" w:hAnsi="Tahoma" w:cs="Tahoma"/>
        </w:rPr>
        <w:t>Atteso che, ai sensi dell’art. 36 del vigente regolamento di contabilità, alla suddetta operazione di riaccertamento dei residui provvede il responsabile del servizio finanziario;</w:t>
      </w:r>
    </w:p>
    <w:p w14:paraId="36837E10" w14:textId="77777777" w:rsidR="009447BB" w:rsidRDefault="009447BB" w:rsidP="009447BB">
      <w:pPr>
        <w:spacing w:before="100" w:beforeAutospacing="1"/>
        <w:jc w:val="both"/>
      </w:pPr>
      <w:r>
        <w:rPr>
          <w:rFonts w:ascii="Tahoma" w:hAnsi="Tahoma" w:cs="Tahoma"/>
        </w:rPr>
        <w:t>Dato atto che, sulla base della documentazione esistente e delle indicazioni fornite dai responsabili dei vari servizi, si è provveduto:</w:t>
      </w:r>
    </w:p>
    <w:p w14:paraId="6D87EC53" w14:textId="77777777" w:rsidR="009447BB" w:rsidRDefault="009447BB" w:rsidP="009447BB">
      <w:pPr>
        <w:numPr>
          <w:ilvl w:val="0"/>
          <w:numId w:val="1"/>
        </w:numPr>
        <w:spacing w:before="100" w:beforeAutospacing="1"/>
        <w:jc w:val="both"/>
      </w:pPr>
      <w:r>
        <w:rPr>
          <w:rFonts w:ascii="Tahoma" w:hAnsi="Tahoma" w:cs="Tahoma"/>
        </w:rPr>
        <w:t>per i residui attivi a valutare accuratamente la consistenza e l’esigibilità degli stessi e alla eliminazione di quelli divenuti insussistenti;</w:t>
      </w:r>
    </w:p>
    <w:p w14:paraId="1282150E" w14:textId="77777777" w:rsidR="009447BB" w:rsidRDefault="009447BB" w:rsidP="009447BB">
      <w:pPr>
        <w:numPr>
          <w:ilvl w:val="0"/>
          <w:numId w:val="1"/>
        </w:numPr>
        <w:spacing w:before="100" w:beforeAutospacing="1"/>
        <w:jc w:val="both"/>
      </w:pPr>
      <w:r>
        <w:rPr>
          <w:rFonts w:ascii="Tahoma" w:hAnsi="Tahoma" w:cs="Tahoma"/>
        </w:rPr>
        <w:t>per i residui passivi ad eliminare le economie di spesa rispetto agli impegni assunti, nell’importo definitivo che è stato determinato in sede di liquidazione;</w:t>
      </w:r>
    </w:p>
    <w:p w14:paraId="236E78F4" w14:textId="77777777" w:rsidR="009447BB" w:rsidRDefault="009447BB" w:rsidP="009447BB">
      <w:pPr>
        <w:numPr>
          <w:ilvl w:val="0"/>
          <w:numId w:val="1"/>
        </w:numPr>
        <w:spacing w:before="100" w:beforeAutospacing="1"/>
        <w:jc w:val="both"/>
      </w:pPr>
      <w:r>
        <w:rPr>
          <w:rFonts w:ascii="Tahoma" w:hAnsi="Tahoma" w:cs="Tahoma"/>
        </w:rPr>
        <w:t>a re-imputare gli impegni e gli accertamenti la cui esigibilità è differita agli esercizi successivi;</w:t>
      </w:r>
    </w:p>
    <w:p w14:paraId="6022EB53" w14:textId="77777777" w:rsidR="009447BB" w:rsidRDefault="009447BB" w:rsidP="009447BB">
      <w:pPr>
        <w:spacing w:before="100" w:beforeAutospacing="1"/>
        <w:jc w:val="both"/>
        <w:rPr>
          <w:rFonts w:ascii="Tahoma" w:hAnsi="Tahoma" w:cs="Tahoma"/>
        </w:rPr>
      </w:pPr>
      <w:r>
        <w:rPr>
          <w:rFonts w:ascii="Tahoma" w:hAnsi="Tahoma" w:cs="Tahoma"/>
        </w:rPr>
        <w:t>Dato atto, altresì, che a seguito della suddetta verifica di ogni accertamento di entrata e di ogni impegno di spesa dell’esercizio finanziario 2020 e precedenti si è provveduto alla movimentazione dei residui come di seguito elencato:</w:t>
      </w:r>
    </w:p>
    <w:p w14:paraId="36AAC251" w14:textId="77777777" w:rsidR="009447BB" w:rsidRDefault="009447BB" w:rsidP="009447BB">
      <w:pPr>
        <w:spacing w:before="100" w:beforeAutospacing="1"/>
        <w:jc w:val="both"/>
      </w:pPr>
    </w:p>
    <w:tbl>
      <w:tblPr>
        <w:tblW w:w="9180" w:type="dxa"/>
        <w:tblCellSpacing w:w="0" w:type="dxa"/>
        <w:tblCellMar>
          <w:left w:w="0" w:type="dxa"/>
          <w:right w:w="0" w:type="dxa"/>
        </w:tblCellMar>
        <w:tblLook w:val="04A0" w:firstRow="1" w:lastRow="0" w:firstColumn="1" w:lastColumn="0" w:noHBand="0" w:noVBand="1"/>
      </w:tblPr>
      <w:tblGrid>
        <w:gridCol w:w="2479"/>
        <w:gridCol w:w="2250"/>
        <w:gridCol w:w="2358"/>
        <w:gridCol w:w="2093"/>
      </w:tblGrid>
      <w:tr w:rsidR="009447BB" w14:paraId="47C8BC40" w14:textId="77777777" w:rsidTr="006D5A4D">
        <w:trPr>
          <w:tblCellSpacing w:w="0" w:type="dxa"/>
        </w:trPr>
        <w:tc>
          <w:tcPr>
            <w:tcW w:w="2479" w:type="dxa"/>
            <w:tcBorders>
              <w:top w:val="single" w:sz="8" w:space="0" w:color="000001"/>
              <w:left w:val="single" w:sz="8" w:space="0" w:color="000001"/>
              <w:bottom w:val="single" w:sz="8" w:space="0" w:color="000001"/>
              <w:right w:val="single" w:sz="8" w:space="0" w:color="000001"/>
            </w:tcBorders>
            <w:hideMark/>
          </w:tcPr>
          <w:p w14:paraId="4FED7E3C" w14:textId="77777777" w:rsidR="009447BB" w:rsidRDefault="009447BB" w:rsidP="006D5A4D">
            <w:pPr>
              <w:spacing w:before="100" w:beforeAutospacing="1" w:after="142" w:line="288" w:lineRule="auto"/>
              <w:jc w:val="center"/>
              <w:rPr>
                <w:rFonts w:eastAsiaTheme="minorHAnsi"/>
              </w:rPr>
            </w:pPr>
            <w:r>
              <w:rPr>
                <w:rFonts w:ascii="Tahoma" w:hAnsi="Tahoma" w:cs="Tahoma"/>
              </w:rPr>
              <w:t>TIPOLOGIA</w:t>
            </w:r>
          </w:p>
        </w:tc>
        <w:tc>
          <w:tcPr>
            <w:tcW w:w="2250" w:type="dxa"/>
            <w:tcBorders>
              <w:top w:val="single" w:sz="8" w:space="0" w:color="000001"/>
              <w:left w:val="single" w:sz="8" w:space="0" w:color="000001"/>
              <w:bottom w:val="single" w:sz="8" w:space="0" w:color="000001"/>
              <w:right w:val="single" w:sz="8" w:space="0" w:color="000001"/>
            </w:tcBorders>
            <w:hideMark/>
          </w:tcPr>
          <w:p w14:paraId="65109159" w14:textId="77777777" w:rsidR="009447BB" w:rsidRDefault="009447BB" w:rsidP="006D5A4D">
            <w:pPr>
              <w:spacing w:before="100" w:beforeAutospacing="1" w:line="288" w:lineRule="auto"/>
              <w:jc w:val="center"/>
              <w:rPr>
                <w:rFonts w:eastAsiaTheme="minorHAnsi"/>
              </w:rPr>
            </w:pPr>
            <w:r>
              <w:rPr>
                <w:rFonts w:ascii="Tahoma" w:hAnsi="Tahoma" w:cs="Tahoma"/>
              </w:rPr>
              <w:t xml:space="preserve">RIACCERTAMENTO </w:t>
            </w:r>
          </w:p>
          <w:p w14:paraId="47A4DD19" w14:textId="77777777" w:rsidR="009447BB" w:rsidRDefault="009447BB" w:rsidP="006D5A4D">
            <w:pPr>
              <w:spacing w:before="100" w:beforeAutospacing="1" w:after="142" w:line="288" w:lineRule="auto"/>
              <w:jc w:val="center"/>
              <w:rPr>
                <w:rFonts w:eastAsiaTheme="minorHAnsi"/>
              </w:rPr>
            </w:pPr>
            <w:r>
              <w:rPr>
                <w:rFonts w:ascii="Tahoma" w:hAnsi="Tahoma" w:cs="Tahoma"/>
              </w:rPr>
              <w:t>da gestione residui</w:t>
            </w:r>
          </w:p>
        </w:tc>
        <w:tc>
          <w:tcPr>
            <w:tcW w:w="2358" w:type="dxa"/>
            <w:tcBorders>
              <w:top w:val="single" w:sz="8" w:space="0" w:color="000001"/>
              <w:left w:val="single" w:sz="8" w:space="0" w:color="000001"/>
              <w:bottom w:val="single" w:sz="8" w:space="0" w:color="000001"/>
              <w:right w:val="single" w:sz="8" w:space="0" w:color="000001"/>
            </w:tcBorders>
            <w:hideMark/>
          </w:tcPr>
          <w:p w14:paraId="1AC2D2CA" w14:textId="77777777" w:rsidR="009447BB" w:rsidRDefault="009447BB" w:rsidP="006D5A4D">
            <w:pPr>
              <w:spacing w:before="100" w:beforeAutospacing="1" w:line="288" w:lineRule="auto"/>
              <w:jc w:val="center"/>
              <w:rPr>
                <w:rFonts w:eastAsiaTheme="minorHAnsi"/>
              </w:rPr>
            </w:pPr>
            <w:r>
              <w:rPr>
                <w:rFonts w:ascii="Tahoma" w:hAnsi="Tahoma" w:cs="Tahoma"/>
              </w:rPr>
              <w:t>RIACCERTAMENTO</w:t>
            </w:r>
          </w:p>
          <w:p w14:paraId="3F1D4688" w14:textId="77777777" w:rsidR="009447BB" w:rsidRDefault="009447BB" w:rsidP="006D5A4D">
            <w:pPr>
              <w:spacing w:before="100" w:beforeAutospacing="1" w:after="142" w:line="288" w:lineRule="auto"/>
              <w:jc w:val="center"/>
              <w:rPr>
                <w:rFonts w:eastAsiaTheme="minorHAnsi"/>
              </w:rPr>
            </w:pPr>
            <w:r>
              <w:rPr>
                <w:rFonts w:ascii="Tahoma" w:hAnsi="Tahoma" w:cs="Tahoma"/>
              </w:rPr>
              <w:t>da gestione competenza</w:t>
            </w:r>
          </w:p>
        </w:tc>
        <w:tc>
          <w:tcPr>
            <w:tcW w:w="2093" w:type="dxa"/>
            <w:tcBorders>
              <w:top w:val="single" w:sz="8" w:space="0" w:color="000001"/>
              <w:left w:val="single" w:sz="8" w:space="0" w:color="000001"/>
              <w:bottom w:val="single" w:sz="8" w:space="0" w:color="000001"/>
              <w:right w:val="single" w:sz="8" w:space="0" w:color="000001"/>
            </w:tcBorders>
            <w:hideMark/>
          </w:tcPr>
          <w:p w14:paraId="61279D41" w14:textId="77777777" w:rsidR="009447BB" w:rsidRDefault="009447BB" w:rsidP="006D5A4D">
            <w:pPr>
              <w:spacing w:before="100" w:beforeAutospacing="1" w:after="142" w:line="288" w:lineRule="auto"/>
              <w:jc w:val="center"/>
              <w:rPr>
                <w:rFonts w:eastAsiaTheme="minorHAnsi"/>
              </w:rPr>
            </w:pPr>
            <w:r>
              <w:rPr>
                <w:rFonts w:ascii="Tahoma" w:hAnsi="Tahoma" w:cs="Tahoma"/>
              </w:rPr>
              <w:t>TOTALE</w:t>
            </w:r>
          </w:p>
        </w:tc>
      </w:tr>
      <w:tr w:rsidR="009447BB" w14:paraId="16F8A6D6" w14:textId="77777777" w:rsidTr="006D5A4D">
        <w:trPr>
          <w:tblCellSpacing w:w="0" w:type="dxa"/>
        </w:trPr>
        <w:tc>
          <w:tcPr>
            <w:tcW w:w="2479" w:type="dxa"/>
            <w:tcBorders>
              <w:top w:val="single" w:sz="8" w:space="0" w:color="000001"/>
              <w:left w:val="single" w:sz="8" w:space="0" w:color="000001"/>
              <w:bottom w:val="single" w:sz="8" w:space="0" w:color="000001"/>
              <w:right w:val="single" w:sz="8" w:space="0" w:color="000001"/>
            </w:tcBorders>
            <w:hideMark/>
          </w:tcPr>
          <w:p w14:paraId="7AEAC3D4" w14:textId="77777777" w:rsidR="009447BB" w:rsidRDefault="009447BB" w:rsidP="006D5A4D">
            <w:pPr>
              <w:spacing w:before="100" w:beforeAutospacing="1" w:after="142" w:line="288" w:lineRule="auto"/>
              <w:rPr>
                <w:rFonts w:eastAsiaTheme="minorHAnsi"/>
              </w:rPr>
            </w:pPr>
            <w:r>
              <w:rPr>
                <w:rFonts w:ascii="Tahoma" w:hAnsi="Tahoma" w:cs="Tahoma"/>
              </w:rPr>
              <w:t xml:space="preserve">Minori entrate </w:t>
            </w:r>
          </w:p>
        </w:tc>
        <w:tc>
          <w:tcPr>
            <w:tcW w:w="2250" w:type="dxa"/>
            <w:tcBorders>
              <w:top w:val="single" w:sz="8" w:space="0" w:color="000001"/>
              <w:left w:val="single" w:sz="8" w:space="0" w:color="000001"/>
              <w:bottom w:val="single" w:sz="8" w:space="0" w:color="000001"/>
              <w:right w:val="single" w:sz="8" w:space="0" w:color="000001"/>
            </w:tcBorders>
            <w:hideMark/>
          </w:tcPr>
          <w:p w14:paraId="1B67A164" w14:textId="77777777" w:rsidR="009447BB" w:rsidRDefault="009447BB" w:rsidP="006D5A4D">
            <w:pPr>
              <w:spacing w:before="100" w:beforeAutospacing="1" w:after="142" w:line="288" w:lineRule="auto"/>
              <w:jc w:val="right"/>
              <w:rPr>
                <w:rFonts w:eastAsiaTheme="minorHAnsi"/>
              </w:rPr>
            </w:pPr>
          </w:p>
        </w:tc>
        <w:tc>
          <w:tcPr>
            <w:tcW w:w="2358" w:type="dxa"/>
            <w:tcBorders>
              <w:top w:val="single" w:sz="8" w:space="0" w:color="000001"/>
              <w:left w:val="single" w:sz="8" w:space="0" w:color="000001"/>
              <w:bottom w:val="single" w:sz="8" w:space="0" w:color="000001"/>
              <w:right w:val="single" w:sz="8" w:space="0" w:color="000001"/>
            </w:tcBorders>
            <w:hideMark/>
          </w:tcPr>
          <w:p w14:paraId="71A73917" w14:textId="49F2CCD9" w:rsidR="009447BB" w:rsidRDefault="00E36941" w:rsidP="006D5A4D">
            <w:pPr>
              <w:spacing w:before="100" w:beforeAutospacing="1" w:after="142" w:line="288" w:lineRule="auto"/>
              <w:jc w:val="center"/>
              <w:rPr>
                <w:rFonts w:eastAsiaTheme="minorHAnsi"/>
              </w:rPr>
            </w:pPr>
            <w:r>
              <w:rPr>
                <w:rFonts w:eastAsiaTheme="minorHAnsi"/>
              </w:rPr>
              <w:t>69.933,67</w:t>
            </w:r>
          </w:p>
        </w:tc>
        <w:tc>
          <w:tcPr>
            <w:tcW w:w="2093" w:type="dxa"/>
            <w:tcBorders>
              <w:top w:val="single" w:sz="8" w:space="0" w:color="000001"/>
              <w:left w:val="single" w:sz="8" w:space="0" w:color="000001"/>
              <w:bottom w:val="single" w:sz="8" w:space="0" w:color="000001"/>
              <w:right w:val="single" w:sz="8" w:space="0" w:color="000001"/>
            </w:tcBorders>
            <w:hideMark/>
          </w:tcPr>
          <w:p w14:paraId="3746174D" w14:textId="44C9E17A" w:rsidR="009447BB" w:rsidRDefault="00E36941" w:rsidP="006D5A4D">
            <w:pPr>
              <w:spacing w:before="100" w:beforeAutospacing="1" w:after="142" w:line="288" w:lineRule="auto"/>
              <w:jc w:val="right"/>
              <w:rPr>
                <w:rFonts w:eastAsiaTheme="minorHAnsi"/>
              </w:rPr>
            </w:pPr>
            <w:r>
              <w:rPr>
                <w:rFonts w:eastAsiaTheme="minorHAnsi"/>
              </w:rPr>
              <w:t>69.933,67</w:t>
            </w:r>
          </w:p>
        </w:tc>
      </w:tr>
      <w:tr w:rsidR="009447BB" w14:paraId="4F51B981" w14:textId="77777777" w:rsidTr="006D5A4D">
        <w:trPr>
          <w:tblCellSpacing w:w="0" w:type="dxa"/>
        </w:trPr>
        <w:tc>
          <w:tcPr>
            <w:tcW w:w="2479" w:type="dxa"/>
            <w:tcBorders>
              <w:top w:val="single" w:sz="8" w:space="0" w:color="000001"/>
              <w:left w:val="single" w:sz="8" w:space="0" w:color="000001"/>
              <w:bottom w:val="single" w:sz="8" w:space="0" w:color="000001"/>
              <w:right w:val="single" w:sz="8" w:space="0" w:color="000001"/>
            </w:tcBorders>
            <w:hideMark/>
          </w:tcPr>
          <w:p w14:paraId="5C252C9E" w14:textId="77777777" w:rsidR="009447BB" w:rsidRDefault="009447BB" w:rsidP="006D5A4D">
            <w:pPr>
              <w:spacing w:before="100" w:beforeAutospacing="1" w:after="142" w:line="288" w:lineRule="auto"/>
              <w:rPr>
                <w:rFonts w:eastAsiaTheme="minorHAnsi"/>
              </w:rPr>
            </w:pPr>
            <w:r>
              <w:rPr>
                <w:rFonts w:ascii="Tahoma" w:hAnsi="Tahoma" w:cs="Tahoma"/>
              </w:rPr>
              <w:t xml:space="preserve">Minori uscite </w:t>
            </w:r>
          </w:p>
        </w:tc>
        <w:tc>
          <w:tcPr>
            <w:tcW w:w="2250" w:type="dxa"/>
            <w:tcBorders>
              <w:top w:val="single" w:sz="8" w:space="0" w:color="000001"/>
              <w:left w:val="single" w:sz="8" w:space="0" w:color="000001"/>
              <w:bottom w:val="single" w:sz="8" w:space="0" w:color="000001"/>
              <w:right w:val="single" w:sz="8" w:space="0" w:color="000001"/>
            </w:tcBorders>
          </w:tcPr>
          <w:p w14:paraId="192D912D" w14:textId="77777777" w:rsidR="009447BB" w:rsidRDefault="009447BB" w:rsidP="006D5A4D">
            <w:pPr>
              <w:spacing w:before="100" w:beforeAutospacing="1" w:after="142" w:line="288" w:lineRule="auto"/>
              <w:jc w:val="right"/>
              <w:rPr>
                <w:rFonts w:eastAsiaTheme="minorHAnsi"/>
              </w:rPr>
            </w:pPr>
          </w:p>
        </w:tc>
        <w:tc>
          <w:tcPr>
            <w:tcW w:w="2358" w:type="dxa"/>
            <w:tcBorders>
              <w:top w:val="single" w:sz="8" w:space="0" w:color="000001"/>
              <w:left w:val="single" w:sz="8" w:space="0" w:color="000001"/>
              <w:bottom w:val="single" w:sz="8" w:space="0" w:color="000001"/>
              <w:right w:val="single" w:sz="8" w:space="0" w:color="000001"/>
            </w:tcBorders>
          </w:tcPr>
          <w:p w14:paraId="042734C8" w14:textId="77777777" w:rsidR="009447BB" w:rsidRDefault="009447BB" w:rsidP="006D5A4D">
            <w:pPr>
              <w:spacing w:before="100" w:beforeAutospacing="1" w:after="142" w:line="288" w:lineRule="auto"/>
              <w:jc w:val="center"/>
              <w:rPr>
                <w:rFonts w:eastAsiaTheme="minorHAnsi"/>
              </w:rPr>
            </w:pPr>
            <w:r>
              <w:rPr>
                <w:rFonts w:eastAsiaTheme="minorHAnsi"/>
              </w:rPr>
              <w:t>70.010,24</w:t>
            </w:r>
          </w:p>
        </w:tc>
        <w:tc>
          <w:tcPr>
            <w:tcW w:w="2093" w:type="dxa"/>
            <w:tcBorders>
              <w:top w:val="single" w:sz="8" w:space="0" w:color="000001"/>
              <w:left w:val="single" w:sz="8" w:space="0" w:color="000001"/>
              <w:bottom w:val="single" w:sz="8" w:space="0" w:color="000001"/>
              <w:right w:val="single" w:sz="8" w:space="0" w:color="000001"/>
            </w:tcBorders>
          </w:tcPr>
          <w:p w14:paraId="6F20906E" w14:textId="6762E66F" w:rsidR="009447BB" w:rsidRDefault="009447BB" w:rsidP="006D5A4D">
            <w:pPr>
              <w:spacing w:before="100" w:beforeAutospacing="1" w:after="142" w:line="288" w:lineRule="auto"/>
              <w:jc w:val="right"/>
              <w:rPr>
                <w:rFonts w:eastAsiaTheme="minorHAnsi"/>
              </w:rPr>
            </w:pPr>
            <w:r>
              <w:rPr>
                <w:rFonts w:eastAsiaTheme="minorHAnsi"/>
              </w:rPr>
              <w:t>7</w:t>
            </w:r>
            <w:r w:rsidR="00E36941">
              <w:rPr>
                <w:rFonts w:eastAsiaTheme="minorHAnsi"/>
              </w:rPr>
              <w:t>1.084,17</w:t>
            </w:r>
          </w:p>
        </w:tc>
      </w:tr>
      <w:tr w:rsidR="009447BB" w14:paraId="6E5B6AEB" w14:textId="77777777" w:rsidTr="006D5A4D">
        <w:trPr>
          <w:tblCellSpacing w:w="0" w:type="dxa"/>
        </w:trPr>
        <w:tc>
          <w:tcPr>
            <w:tcW w:w="2479" w:type="dxa"/>
            <w:tcBorders>
              <w:top w:val="single" w:sz="8" w:space="0" w:color="000001"/>
              <w:left w:val="single" w:sz="8" w:space="0" w:color="000001"/>
              <w:bottom w:val="single" w:sz="8" w:space="0" w:color="000001"/>
              <w:right w:val="single" w:sz="8" w:space="0" w:color="000001"/>
            </w:tcBorders>
            <w:hideMark/>
          </w:tcPr>
          <w:p w14:paraId="0D467949" w14:textId="77777777" w:rsidR="009447BB" w:rsidRDefault="009447BB" w:rsidP="006D5A4D">
            <w:pPr>
              <w:spacing w:before="100" w:beforeAutospacing="1" w:after="142" w:line="288" w:lineRule="auto"/>
              <w:rPr>
                <w:rFonts w:eastAsiaTheme="minorHAnsi"/>
              </w:rPr>
            </w:pPr>
            <w:r>
              <w:rPr>
                <w:rFonts w:ascii="Tahoma" w:hAnsi="Tahoma" w:cs="Tahoma"/>
              </w:rPr>
              <w:t xml:space="preserve">Maggiori entrate </w:t>
            </w:r>
          </w:p>
        </w:tc>
        <w:tc>
          <w:tcPr>
            <w:tcW w:w="2250" w:type="dxa"/>
            <w:tcBorders>
              <w:top w:val="single" w:sz="8" w:space="0" w:color="000001"/>
              <w:left w:val="single" w:sz="8" w:space="0" w:color="000001"/>
              <w:bottom w:val="single" w:sz="8" w:space="0" w:color="000001"/>
              <w:right w:val="single" w:sz="8" w:space="0" w:color="000001"/>
            </w:tcBorders>
          </w:tcPr>
          <w:p w14:paraId="63A79CD1" w14:textId="77777777" w:rsidR="009447BB" w:rsidRDefault="009447BB" w:rsidP="006D5A4D">
            <w:pPr>
              <w:spacing w:before="100" w:beforeAutospacing="1" w:after="142" w:line="288" w:lineRule="auto"/>
              <w:jc w:val="right"/>
              <w:rPr>
                <w:rFonts w:eastAsiaTheme="minorHAnsi"/>
              </w:rPr>
            </w:pPr>
          </w:p>
        </w:tc>
        <w:tc>
          <w:tcPr>
            <w:tcW w:w="2358" w:type="dxa"/>
            <w:tcBorders>
              <w:top w:val="single" w:sz="8" w:space="0" w:color="000001"/>
              <w:left w:val="single" w:sz="8" w:space="0" w:color="000001"/>
              <w:bottom w:val="single" w:sz="8" w:space="0" w:color="000001"/>
              <w:right w:val="single" w:sz="8" w:space="0" w:color="000001"/>
            </w:tcBorders>
          </w:tcPr>
          <w:p w14:paraId="3037D9B7" w14:textId="77777777" w:rsidR="009447BB" w:rsidRDefault="009447BB" w:rsidP="006D5A4D">
            <w:pPr>
              <w:spacing w:before="100" w:beforeAutospacing="1" w:after="142" w:line="288" w:lineRule="auto"/>
              <w:jc w:val="right"/>
              <w:rPr>
                <w:rFonts w:eastAsiaTheme="minorHAnsi"/>
              </w:rPr>
            </w:pPr>
          </w:p>
        </w:tc>
        <w:tc>
          <w:tcPr>
            <w:tcW w:w="2093" w:type="dxa"/>
            <w:tcBorders>
              <w:top w:val="single" w:sz="8" w:space="0" w:color="000001"/>
              <w:left w:val="single" w:sz="8" w:space="0" w:color="000001"/>
              <w:bottom w:val="single" w:sz="8" w:space="0" w:color="000001"/>
              <w:right w:val="single" w:sz="8" w:space="0" w:color="000001"/>
            </w:tcBorders>
          </w:tcPr>
          <w:p w14:paraId="69A80883" w14:textId="77777777" w:rsidR="009447BB" w:rsidRDefault="009447BB" w:rsidP="006D5A4D">
            <w:pPr>
              <w:spacing w:before="100" w:beforeAutospacing="1" w:after="142" w:line="288" w:lineRule="auto"/>
              <w:jc w:val="right"/>
              <w:rPr>
                <w:rFonts w:eastAsiaTheme="minorHAnsi"/>
              </w:rPr>
            </w:pPr>
          </w:p>
        </w:tc>
      </w:tr>
    </w:tbl>
    <w:p w14:paraId="243CA85C" w14:textId="77777777" w:rsidR="009447BB" w:rsidRDefault="009447BB" w:rsidP="009447BB">
      <w:pPr>
        <w:spacing w:before="100" w:beforeAutospacing="1"/>
        <w:rPr>
          <w:rFonts w:ascii="Tahoma" w:hAnsi="Tahoma" w:cs="Tahoma"/>
        </w:rPr>
      </w:pPr>
      <w:r>
        <w:rPr>
          <w:rFonts w:ascii="Tahoma" w:hAnsi="Tahoma" w:cs="Tahoma"/>
        </w:rPr>
        <w:lastRenderedPageBreak/>
        <w:t xml:space="preserve">Tenuto conto, inoltre che con </w:t>
      </w:r>
      <w:r>
        <w:rPr>
          <w:rFonts w:ascii="Tahoma" w:hAnsi="Tahoma" w:cs="Tahoma"/>
          <w:color w:val="000000"/>
        </w:rPr>
        <w:t xml:space="preserve">Determinazione 41del 24/02/2021 </w:t>
      </w:r>
      <w:r>
        <w:rPr>
          <w:rFonts w:ascii="Tahoma" w:hAnsi="Tahoma" w:cs="Tahoma"/>
        </w:rPr>
        <w:t>si è provveduto a rideterminare l’esigibilità degli impegni/accertamenti 2020, costituendo quindi il nuovo Fondo Pluriennale vincolato stanziato sul Bilancio di Previsione 2021/2023:</w:t>
      </w:r>
    </w:p>
    <w:p w14:paraId="4613A9EA" w14:textId="77777777" w:rsidR="009447BB" w:rsidRDefault="009447BB" w:rsidP="009447BB">
      <w:pPr>
        <w:spacing w:before="100" w:beforeAutospacing="1"/>
      </w:pPr>
    </w:p>
    <w:tbl>
      <w:tblPr>
        <w:tblW w:w="9180" w:type="dxa"/>
        <w:tblCellSpacing w:w="0" w:type="dxa"/>
        <w:tblCellMar>
          <w:left w:w="0" w:type="dxa"/>
          <w:right w:w="0" w:type="dxa"/>
        </w:tblCellMar>
        <w:tblLook w:val="04A0" w:firstRow="1" w:lastRow="0" w:firstColumn="1" w:lastColumn="0" w:noHBand="0" w:noVBand="1"/>
      </w:tblPr>
      <w:tblGrid>
        <w:gridCol w:w="5679"/>
        <w:gridCol w:w="3501"/>
      </w:tblGrid>
      <w:tr w:rsidR="009447BB" w14:paraId="23374856" w14:textId="77777777" w:rsidTr="006D5A4D">
        <w:trPr>
          <w:tblCellSpacing w:w="0" w:type="dxa"/>
        </w:trPr>
        <w:tc>
          <w:tcPr>
            <w:tcW w:w="5679" w:type="dxa"/>
            <w:tcBorders>
              <w:top w:val="single" w:sz="8" w:space="0" w:color="000001"/>
              <w:left w:val="single" w:sz="8" w:space="0" w:color="000001"/>
              <w:bottom w:val="single" w:sz="8" w:space="0" w:color="000001"/>
              <w:right w:val="single" w:sz="8" w:space="0" w:color="000001"/>
            </w:tcBorders>
            <w:hideMark/>
          </w:tcPr>
          <w:p w14:paraId="7B6A3D56" w14:textId="77777777" w:rsidR="009447BB" w:rsidRDefault="009447BB" w:rsidP="006D5A4D">
            <w:pPr>
              <w:spacing w:before="100" w:beforeAutospacing="1" w:after="142" w:line="288" w:lineRule="auto"/>
              <w:rPr>
                <w:rFonts w:eastAsiaTheme="minorHAnsi"/>
              </w:rPr>
            </w:pPr>
            <w:r>
              <w:rPr>
                <w:rFonts w:ascii="Tahoma" w:hAnsi="Tahoma" w:cs="Tahoma"/>
              </w:rPr>
              <w:t>Accertamenti con variazione esigibilità esercizi successivi</w:t>
            </w:r>
          </w:p>
        </w:tc>
        <w:tc>
          <w:tcPr>
            <w:tcW w:w="3501" w:type="dxa"/>
            <w:tcBorders>
              <w:top w:val="single" w:sz="8" w:space="0" w:color="000001"/>
              <w:left w:val="single" w:sz="8" w:space="0" w:color="000001"/>
              <w:bottom w:val="single" w:sz="8" w:space="0" w:color="000001"/>
              <w:right w:val="single" w:sz="8" w:space="0" w:color="000001"/>
            </w:tcBorders>
            <w:hideMark/>
          </w:tcPr>
          <w:p w14:paraId="35C00973" w14:textId="77777777" w:rsidR="009447BB" w:rsidRDefault="009447BB" w:rsidP="006D5A4D">
            <w:pPr>
              <w:spacing w:before="100" w:beforeAutospacing="1" w:after="142" w:line="288" w:lineRule="auto"/>
              <w:jc w:val="right"/>
              <w:rPr>
                <w:rFonts w:eastAsiaTheme="minorHAnsi"/>
              </w:rPr>
            </w:pPr>
            <w:r>
              <w:rPr>
                <w:rFonts w:ascii="Tahoma" w:hAnsi="Tahoma" w:cs="Tahoma"/>
              </w:rPr>
              <w:t>0</w:t>
            </w:r>
          </w:p>
        </w:tc>
      </w:tr>
      <w:tr w:rsidR="009447BB" w14:paraId="388AFF36" w14:textId="77777777" w:rsidTr="006D5A4D">
        <w:trPr>
          <w:tblCellSpacing w:w="0" w:type="dxa"/>
        </w:trPr>
        <w:tc>
          <w:tcPr>
            <w:tcW w:w="5679" w:type="dxa"/>
            <w:tcBorders>
              <w:top w:val="single" w:sz="8" w:space="0" w:color="000001"/>
              <w:left w:val="single" w:sz="8" w:space="0" w:color="000001"/>
              <w:bottom w:val="single" w:sz="8" w:space="0" w:color="000001"/>
              <w:right w:val="single" w:sz="8" w:space="0" w:color="000001"/>
            </w:tcBorders>
            <w:hideMark/>
          </w:tcPr>
          <w:p w14:paraId="1ADED0A1" w14:textId="77777777" w:rsidR="009447BB" w:rsidRDefault="009447BB" w:rsidP="006D5A4D">
            <w:pPr>
              <w:spacing w:before="100" w:beforeAutospacing="1" w:after="142" w:line="288" w:lineRule="auto"/>
              <w:rPr>
                <w:rFonts w:eastAsiaTheme="minorHAnsi"/>
              </w:rPr>
            </w:pPr>
            <w:r>
              <w:rPr>
                <w:rFonts w:ascii="Tahoma" w:hAnsi="Tahoma" w:cs="Tahoma"/>
              </w:rPr>
              <w:t>Impegni con variazione esigibilità esercizi successivi</w:t>
            </w:r>
          </w:p>
        </w:tc>
        <w:tc>
          <w:tcPr>
            <w:tcW w:w="3501" w:type="dxa"/>
            <w:tcBorders>
              <w:top w:val="single" w:sz="8" w:space="0" w:color="000001"/>
              <w:left w:val="single" w:sz="8" w:space="0" w:color="000001"/>
              <w:bottom w:val="single" w:sz="8" w:space="0" w:color="000001"/>
              <w:right w:val="single" w:sz="8" w:space="0" w:color="000001"/>
            </w:tcBorders>
            <w:hideMark/>
          </w:tcPr>
          <w:p w14:paraId="70F66B9B" w14:textId="77777777" w:rsidR="009447BB" w:rsidRDefault="009447BB" w:rsidP="006D5A4D">
            <w:pPr>
              <w:tabs>
                <w:tab w:val="left" w:pos="2640"/>
              </w:tabs>
              <w:spacing w:before="100" w:beforeAutospacing="1" w:after="142" w:line="288" w:lineRule="auto"/>
              <w:rPr>
                <w:rFonts w:eastAsiaTheme="minorHAnsi"/>
              </w:rPr>
            </w:pPr>
            <w:r>
              <w:rPr>
                <w:rFonts w:eastAsiaTheme="minorHAnsi"/>
              </w:rPr>
              <w:tab/>
              <w:t xml:space="preserve">           0</w:t>
            </w:r>
          </w:p>
        </w:tc>
      </w:tr>
      <w:tr w:rsidR="009447BB" w14:paraId="422A1BFD" w14:textId="77777777" w:rsidTr="006D5A4D">
        <w:trPr>
          <w:tblCellSpacing w:w="0" w:type="dxa"/>
        </w:trPr>
        <w:tc>
          <w:tcPr>
            <w:tcW w:w="5679" w:type="dxa"/>
            <w:tcBorders>
              <w:top w:val="single" w:sz="8" w:space="0" w:color="000001"/>
              <w:left w:val="single" w:sz="8" w:space="0" w:color="000001"/>
              <w:bottom w:val="single" w:sz="8" w:space="0" w:color="000001"/>
              <w:right w:val="single" w:sz="8" w:space="0" w:color="000001"/>
            </w:tcBorders>
            <w:hideMark/>
          </w:tcPr>
          <w:p w14:paraId="476D95A8" w14:textId="77777777" w:rsidR="009447BB" w:rsidRDefault="009447BB" w:rsidP="006D5A4D">
            <w:pPr>
              <w:spacing w:before="100" w:beforeAutospacing="1" w:after="142" w:line="288" w:lineRule="auto"/>
              <w:rPr>
                <w:rFonts w:eastAsiaTheme="minorHAnsi"/>
              </w:rPr>
            </w:pPr>
            <w:r>
              <w:rPr>
                <w:rFonts w:ascii="Tahoma" w:hAnsi="Tahoma" w:cs="Tahoma"/>
              </w:rPr>
              <w:t>FPV da riportare agli esercizi successivi</w:t>
            </w:r>
          </w:p>
        </w:tc>
        <w:tc>
          <w:tcPr>
            <w:tcW w:w="3501" w:type="dxa"/>
            <w:tcBorders>
              <w:top w:val="single" w:sz="8" w:space="0" w:color="000001"/>
              <w:left w:val="single" w:sz="8" w:space="0" w:color="000001"/>
              <w:bottom w:val="single" w:sz="8" w:space="0" w:color="000001"/>
              <w:right w:val="single" w:sz="8" w:space="0" w:color="000001"/>
            </w:tcBorders>
            <w:hideMark/>
          </w:tcPr>
          <w:p w14:paraId="52131C1B" w14:textId="77777777" w:rsidR="009447BB" w:rsidRDefault="009447BB" w:rsidP="006D5A4D">
            <w:pPr>
              <w:spacing w:before="100" w:beforeAutospacing="1" w:after="142" w:line="288" w:lineRule="auto"/>
              <w:jc w:val="right"/>
              <w:rPr>
                <w:rFonts w:eastAsiaTheme="minorHAnsi"/>
              </w:rPr>
            </w:pPr>
            <w:r>
              <w:rPr>
                <w:rFonts w:ascii="Tahoma" w:hAnsi="Tahoma" w:cs="Tahoma"/>
              </w:rPr>
              <w:t>0</w:t>
            </w:r>
          </w:p>
        </w:tc>
      </w:tr>
    </w:tbl>
    <w:p w14:paraId="64808D21" w14:textId="77777777" w:rsidR="009447BB" w:rsidRDefault="009447BB" w:rsidP="009447BB">
      <w:pPr>
        <w:spacing w:before="100" w:beforeAutospacing="1" w:after="142" w:line="288" w:lineRule="auto"/>
      </w:pPr>
      <w:r>
        <w:rPr>
          <w:rFonts w:ascii="Tahoma" w:hAnsi="Tahoma" w:cs="Tahoma"/>
        </w:rPr>
        <w:t>Conseguentemente, i residui attivi e passivi alla data del 31/12/2020 e riportati negli allegati elenchi, sono riassumibili nelle seguenti risultanze finali:</w:t>
      </w:r>
    </w:p>
    <w:tbl>
      <w:tblPr>
        <w:tblW w:w="9072" w:type="dxa"/>
        <w:tblCellSpacing w:w="6" w:type="dxa"/>
        <w:tblCellMar>
          <w:left w:w="0" w:type="dxa"/>
          <w:right w:w="0" w:type="dxa"/>
        </w:tblCellMar>
        <w:tblLook w:val="04A0" w:firstRow="1" w:lastRow="0" w:firstColumn="1" w:lastColumn="0" w:noHBand="0" w:noVBand="1"/>
      </w:tblPr>
      <w:tblGrid>
        <w:gridCol w:w="6931"/>
        <w:gridCol w:w="2141"/>
      </w:tblGrid>
      <w:tr w:rsidR="009447BB" w14:paraId="19BE7FD4" w14:textId="77777777" w:rsidTr="006D5A4D">
        <w:trPr>
          <w:trHeight w:val="468"/>
          <w:tblCellSpacing w:w="6" w:type="dxa"/>
        </w:trPr>
        <w:tc>
          <w:tcPr>
            <w:tcW w:w="9000" w:type="dxa"/>
            <w:gridSpan w:val="2"/>
            <w:tcBorders>
              <w:top w:val="double" w:sz="6" w:space="0" w:color="000001"/>
              <w:left w:val="double" w:sz="6" w:space="0" w:color="000001"/>
              <w:bottom w:val="single" w:sz="8" w:space="0" w:color="000001"/>
              <w:right w:val="double" w:sz="6" w:space="0" w:color="000001"/>
            </w:tcBorders>
            <w:tcMar>
              <w:top w:w="11" w:type="dxa"/>
              <w:left w:w="11" w:type="dxa"/>
              <w:bottom w:w="0" w:type="dxa"/>
              <w:right w:w="11" w:type="dxa"/>
            </w:tcMar>
            <w:vAlign w:val="center"/>
            <w:hideMark/>
          </w:tcPr>
          <w:p w14:paraId="32B30B1F" w14:textId="77777777" w:rsidR="009447BB" w:rsidRDefault="009447BB" w:rsidP="006D5A4D">
            <w:pPr>
              <w:spacing w:before="100" w:beforeAutospacing="1" w:after="142" w:line="288" w:lineRule="auto"/>
              <w:rPr>
                <w:rFonts w:eastAsiaTheme="minorHAnsi"/>
              </w:rPr>
            </w:pPr>
            <w:r>
              <w:rPr>
                <w:rFonts w:ascii="Tahoma" w:hAnsi="Tahoma" w:cs="Tahoma"/>
                <w:b/>
                <w:bCs/>
              </w:rPr>
              <w:t>RESIDUI ATTIVI</w:t>
            </w:r>
          </w:p>
        </w:tc>
      </w:tr>
      <w:tr w:rsidR="009447BB" w14:paraId="1CB336C6" w14:textId="77777777" w:rsidTr="006D5A4D">
        <w:trPr>
          <w:trHeight w:val="216"/>
          <w:tblCellSpacing w:w="6" w:type="dxa"/>
        </w:trPr>
        <w:tc>
          <w:tcPr>
            <w:tcW w:w="6876" w:type="dxa"/>
            <w:tcBorders>
              <w:top w:val="nil"/>
              <w:left w:val="double" w:sz="6" w:space="0" w:color="000001"/>
              <w:bottom w:val="single" w:sz="8" w:space="0" w:color="000001"/>
              <w:right w:val="single" w:sz="8" w:space="0" w:color="000001"/>
            </w:tcBorders>
            <w:tcMar>
              <w:top w:w="0" w:type="dxa"/>
              <w:left w:w="11" w:type="dxa"/>
              <w:bottom w:w="0" w:type="dxa"/>
              <w:right w:w="11" w:type="dxa"/>
            </w:tcMar>
            <w:vAlign w:val="bottom"/>
            <w:hideMark/>
          </w:tcPr>
          <w:p w14:paraId="3C3A9A25" w14:textId="77777777" w:rsidR="009447BB" w:rsidRDefault="009447BB" w:rsidP="006D5A4D">
            <w:pPr>
              <w:spacing w:before="100" w:beforeAutospacing="1" w:after="142" w:line="216" w:lineRule="atLeast"/>
              <w:rPr>
                <w:rFonts w:eastAsiaTheme="minorHAnsi"/>
              </w:rPr>
            </w:pPr>
            <w:r>
              <w:rPr>
                <w:rFonts w:ascii="Tahoma" w:hAnsi="Tahoma" w:cs="Tahoma"/>
                <w:color w:val="000000"/>
              </w:rPr>
              <w:t>riaccertati dalla gestione residui anni 2019 e precedenti</w:t>
            </w:r>
          </w:p>
        </w:tc>
        <w:tc>
          <w:tcPr>
            <w:tcW w:w="2088" w:type="dxa"/>
            <w:tcBorders>
              <w:top w:val="nil"/>
              <w:left w:val="nil"/>
              <w:bottom w:val="single" w:sz="8" w:space="0" w:color="000001"/>
              <w:right w:val="double" w:sz="6" w:space="0" w:color="000001"/>
            </w:tcBorders>
            <w:tcMar>
              <w:top w:w="0" w:type="dxa"/>
              <w:left w:w="0" w:type="dxa"/>
              <w:bottom w:w="0" w:type="dxa"/>
              <w:right w:w="11" w:type="dxa"/>
            </w:tcMar>
            <w:vAlign w:val="bottom"/>
            <w:hideMark/>
          </w:tcPr>
          <w:p w14:paraId="2F3844C6" w14:textId="77777777" w:rsidR="009447BB" w:rsidRDefault="009447BB" w:rsidP="006D5A4D">
            <w:pPr>
              <w:spacing w:before="100" w:beforeAutospacing="1" w:after="142" w:line="216" w:lineRule="atLeast"/>
              <w:jc w:val="right"/>
              <w:rPr>
                <w:rFonts w:eastAsiaTheme="minorHAnsi"/>
              </w:rPr>
            </w:pPr>
            <w:r>
              <w:rPr>
                <w:color w:val="000000"/>
              </w:rPr>
              <w:t>€ 1</w:t>
            </w:r>
            <w:r>
              <w:rPr>
                <w:rFonts w:ascii="Tahoma" w:hAnsi="Tahoma" w:cs="Tahoma"/>
                <w:color w:val="000000"/>
              </w:rPr>
              <w:t>34.695,86</w:t>
            </w:r>
          </w:p>
        </w:tc>
      </w:tr>
      <w:tr w:rsidR="009447BB" w14:paraId="4041BC56" w14:textId="77777777" w:rsidTr="006D5A4D">
        <w:trPr>
          <w:trHeight w:val="216"/>
          <w:tblCellSpacing w:w="6" w:type="dxa"/>
        </w:trPr>
        <w:tc>
          <w:tcPr>
            <w:tcW w:w="6876" w:type="dxa"/>
            <w:tcBorders>
              <w:top w:val="nil"/>
              <w:left w:val="double" w:sz="6" w:space="0" w:color="000001"/>
              <w:bottom w:val="single" w:sz="8" w:space="0" w:color="000001"/>
              <w:right w:val="single" w:sz="8" w:space="0" w:color="000001"/>
            </w:tcBorders>
            <w:tcMar>
              <w:top w:w="0" w:type="dxa"/>
              <w:left w:w="11" w:type="dxa"/>
              <w:bottom w:w="0" w:type="dxa"/>
              <w:right w:w="11" w:type="dxa"/>
            </w:tcMar>
            <w:vAlign w:val="bottom"/>
            <w:hideMark/>
          </w:tcPr>
          <w:p w14:paraId="2249116A" w14:textId="77777777" w:rsidR="009447BB" w:rsidRDefault="009447BB" w:rsidP="006D5A4D">
            <w:pPr>
              <w:spacing w:before="100" w:beforeAutospacing="1" w:after="142" w:line="216" w:lineRule="atLeast"/>
              <w:rPr>
                <w:rFonts w:eastAsiaTheme="minorHAnsi"/>
              </w:rPr>
            </w:pPr>
            <w:r>
              <w:rPr>
                <w:rFonts w:ascii="Tahoma" w:hAnsi="Tahoma" w:cs="Tahoma"/>
                <w:color w:val="000000"/>
              </w:rPr>
              <w:t>accertati nella gestione di competenza anno 2020</w:t>
            </w:r>
          </w:p>
        </w:tc>
        <w:tc>
          <w:tcPr>
            <w:tcW w:w="2088" w:type="dxa"/>
            <w:tcBorders>
              <w:top w:val="nil"/>
              <w:left w:val="nil"/>
              <w:bottom w:val="single" w:sz="8" w:space="0" w:color="000001"/>
              <w:right w:val="double" w:sz="6" w:space="0" w:color="000001"/>
            </w:tcBorders>
            <w:tcMar>
              <w:top w:w="0" w:type="dxa"/>
              <w:left w:w="0" w:type="dxa"/>
              <w:bottom w:w="0" w:type="dxa"/>
              <w:right w:w="11" w:type="dxa"/>
            </w:tcMar>
            <w:vAlign w:val="bottom"/>
            <w:hideMark/>
          </w:tcPr>
          <w:p w14:paraId="682DCDEC" w14:textId="162159A6" w:rsidR="009447BB" w:rsidRDefault="009447BB" w:rsidP="006D5A4D">
            <w:pPr>
              <w:spacing w:before="100" w:beforeAutospacing="1" w:after="142" w:line="216" w:lineRule="atLeast"/>
              <w:jc w:val="right"/>
              <w:rPr>
                <w:rFonts w:eastAsiaTheme="minorHAnsi"/>
              </w:rPr>
            </w:pPr>
            <w:r>
              <w:rPr>
                <w:color w:val="000000"/>
              </w:rPr>
              <w:t xml:space="preserve">€ </w:t>
            </w:r>
            <w:r w:rsidR="00E36941">
              <w:rPr>
                <w:color w:val="000000"/>
              </w:rPr>
              <w:t>201.462,06</w:t>
            </w:r>
          </w:p>
        </w:tc>
      </w:tr>
      <w:tr w:rsidR="009447BB" w14:paraId="5C5EB64E" w14:textId="77777777" w:rsidTr="006D5A4D">
        <w:trPr>
          <w:trHeight w:val="240"/>
          <w:tblCellSpacing w:w="6" w:type="dxa"/>
        </w:trPr>
        <w:tc>
          <w:tcPr>
            <w:tcW w:w="6876" w:type="dxa"/>
            <w:tcBorders>
              <w:top w:val="nil"/>
              <w:left w:val="double" w:sz="6" w:space="0" w:color="000001"/>
              <w:bottom w:val="nil"/>
              <w:right w:val="nil"/>
            </w:tcBorders>
            <w:tcMar>
              <w:top w:w="0" w:type="dxa"/>
              <w:left w:w="11" w:type="dxa"/>
              <w:bottom w:w="0" w:type="dxa"/>
              <w:right w:w="0" w:type="dxa"/>
            </w:tcMar>
            <w:vAlign w:val="bottom"/>
            <w:hideMark/>
          </w:tcPr>
          <w:p w14:paraId="34E314C5" w14:textId="77777777" w:rsidR="009447BB" w:rsidRDefault="009447BB" w:rsidP="006D5A4D">
            <w:pPr>
              <w:spacing w:before="100" w:beforeAutospacing="1" w:after="142" w:line="288" w:lineRule="auto"/>
              <w:rPr>
                <w:rFonts w:eastAsiaTheme="minorHAnsi"/>
              </w:rPr>
            </w:pPr>
            <w:r>
              <w:rPr>
                <w:rFonts w:ascii="Tahoma" w:hAnsi="Tahoma" w:cs="Tahoma"/>
                <w:b/>
                <w:bCs/>
                <w:color w:val="000000"/>
              </w:rPr>
              <w:t>TOTALE</w:t>
            </w:r>
          </w:p>
        </w:tc>
        <w:tc>
          <w:tcPr>
            <w:tcW w:w="2088" w:type="dxa"/>
            <w:tcBorders>
              <w:top w:val="nil"/>
              <w:left w:val="single" w:sz="8" w:space="0" w:color="000001"/>
              <w:bottom w:val="double" w:sz="6" w:space="0" w:color="000001"/>
              <w:right w:val="double" w:sz="6" w:space="0" w:color="000001"/>
            </w:tcBorders>
            <w:tcMar>
              <w:top w:w="0" w:type="dxa"/>
              <w:left w:w="11" w:type="dxa"/>
              <w:bottom w:w="0" w:type="dxa"/>
              <w:right w:w="11" w:type="dxa"/>
            </w:tcMar>
            <w:vAlign w:val="bottom"/>
            <w:hideMark/>
          </w:tcPr>
          <w:p w14:paraId="06A0A821" w14:textId="5B772DB5" w:rsidR="009447BB" w:rsidRDefault="009447BB" w:rsidP="006D5A4D">
            <w:pPr>
              <w:spacing w:before="100" w:beforeAutospacing="1" w:after="142" w:line="288" w:lineRule="auto"/>
              <w:jc w:val="right"/>
              <w:rPr>
                <w:rFonts w:eastAsiaTheme="minorHAnsi"/>
              </w:rPr>
            </w:pPr>
            <w:r>
              <w:rPr>
                <w:color w:val="000000"/>
              </w:rPr>
              <w:t>€ 3</w:t>
            </w:r>
            <w:r w:rsidR="00E36941">
              <w:rPr>
                <w:color w:val="000000"/>
              </w:rPr>
              <w:t>36.157,92</w:t>
            </w:r>
          </w:p>
        </w:tc>
      </w:tr>
      <w:tr w:rsidR="009447BB" w14:paraId="55796968" w14:textId="77777777" w:rsidTr="006D5A4D">
        <w:trPr>
          <w:trHeight w:val="504"/>
          <w:tblCellSpacing w:w="6" w:type="dxa"/>
        </w:trPr>
        <w:tc>
          <w:tcPr>
            <w:tcW w:w="9000" w:type="dxa"/>
            <w:gridSpan w:val="2"/>
            <w:tcBorders>
              <w:top w:val="double" w:sz="6" w:space="0" w:color="000001"/>
              <w:left w:val="double" w:sz="6" w:space="0" w:color="000001"/>
              <w:bottom w:val="single" w:sz="8" w:space="0" w:color="000001"/>
              <w:right w:val="double" w:sz="6" w:space="0" w:color="000001"/>
            </w:tcBorders>
            <w:tcMar>
              <w:top w:w="11" w:type="dxa"/>
              <w:left w:w="11" w:type="dxa"/>
              <w:bottom w:w="0" w:type="dxa"/>
              <w:right w:w="11" w:type="dxa"/>
            </w:tcMar>
            <w:vAlign w:val="center"/>
            <w:hideMark/>
          </w:tcPr>
          <w:p w14:paraId="3884B0A5" w14:textId="77777777" w:rsidR="009447BB" w:rsidRDefault="009447BB" w:rsidP="006D5A4D">
            <w:pPr>
              <w:spacing w:before="100" w:beforeAutospacing="1" w:after="142" w:line="288" w:lineRule="auto"/>
              <w:rPr>
                <w:rFonts w:eastAsiaTheme="minorHAnsi"/>
              </w:rPr>
            </w:pPr>
            <w:r>
              <w:rPr>
                <w:rFonts w:ascii="Tahoma" w:hAnsi="Tahoma" w:cs="Tahoma"/>
                <w:b/>
                <w:bCs/>
                <w:color w:val="000000"/>
              </w:rPr>
              <w:t>RESIDUI PASSIVI</w:t>
            </w:r>
          </w:p>
        </w:tc>
      </w:tr>
      <w:tr w:rsidR="009447BB" w14:paraId="656AC721" w14:textId="77777777" w:rsidTr="006D5A4D">
        <w:trPr>
          <w:trHeight w:val="216"/>
          <w:tblCellSpacing w:w="6" w:type="dxa"/>
        </w:trPr>
        <w:tc>
          <w:tcPr>
            <w:tcW w:w="6876" w:type="dxa"/>
            <w:tcBorders>
              <w:top w:val="nil"/>
              <w:left w:val="double" w:sz="6" w:space="0" w:color="000001"/>
              <w:bottom w:val="single" w:sz="8" w:space="0" w:color="000001"/>
              <w:right w:val="single" w:sz="8" w:space="0" w:color="000001"/>
            </w:tcBorders>
            <w:tcMar>
              <w:top w:w="0" w:type="dxa"/>
              <w:left w:w="11" w:type="dxa"/>
              <w:bottom w:w="0" w:type="dxa"/>
              <w:right w:w="11" w:type="dxa"/>
            </w:tcMar>
            <w:vAlign w:val="bottom"/>
            <w:hideMark/>
          </w:tcPr>
          <w:p w14:paraId="2DCD8EDA" w14:textId="77777777" w:rsidR="009447BB" w:rsidRDefault="009447BB" w:rsidP="006D5A4D">
            <w:pPr>
              <w:spacing w:before="100" w:beforeAutospacing="1" w:after="142" w:line="216" w:lineRule="atLeast"/>
              <w:rPr>
                <w:rFonts w:eastAsiaTheme="minorHAnsi"/>
              </w:rPr>
            </w:pPr>
            <w:r>
              <w:rPr>
                <w:rFonts w:ascii="Tahoma" w:hAnsi="Tahoma" w:cs="Tahoma"/>
                <w:color w:val="000000"/>
              </w:rPr>
              <w:t>riaccertati dalla gestione residui anni 2019 e precedenti</w:t>
            </w:r>
          </w:p>
        </w:tc>
        <w:tc>
          <w:tcPr>
            <w:tcW w:w="2088" w:type="dxa"/>
            <w:tcBorders>
              <w:top w:val="nil"/>
              <w:left w:val="nil"/>
              <w:bottom w:val="single" w:sz="8" w:space="0" w:color="000001"/>
              <w:right w:val="double" w:sz="6" w:space="0" w:color="000001"/>
            </w:tcBorders>
            <w:tcMar>
              <w:top w:w="0" w:type="dxa"/>
              <w:left w:w="0" w:type="dxa"/>
              <w:bottom w:w="0" w:type="dxa"/>
              <w:right w:w="11" w:type="dxa"/>
            </w:tcMar>
            <w:vAlign w:val="bottom"/>
            <w:hideMark/>
          </w:tcPr>
          <w:p w14:paraId="41EE1364" w14:textId="38171BDC" w:rsidR="009447BB" w:rsidRDefault="009447BB" w:rsidP="006D5A4D">
            <w:pPr>
              <w:spacing w:before="100" w:beforeAutospacing="1" w:after="142" w:line="216" w:lineRule="atLeast"/>
              <w:jc w:val="right"/>
              <w:rPr>
                <w:rFonts w:eastAsiaTheme="minorHAnsi"/>
              </w:rPr>
            </w:pPr>
            <w:r>
              <w:rPr>
                <w:color w:val="000000"/>
              </w:rPr>
              <w:t>€ 12</w:t>
            </w:r>
            <w:r w:rsidR="00E36941">
              <w:rPr>
                <w:color w:val="000000"/>
              </w:rPr>
              <w:t>3</w:t>
            </w:r>
            <w:r>
              <w:rPr>
                <w:color w:val="000000"/>
              </w:rPr>
              <w:t>.</w:t>
            </w:r>
            <w:r w:rsidR="00E36941">
              <w:rPr>
                <w:color w:val="000000"/>
              </w:rPr>
              <w:t>679,02</w:t>
            </w:r>
            <w:r>
              <w:rPr>
                <w:rFonts w:ascii="Tahoma" w:hAnsi="Tahoma" w:cs="Tahoma"/>
                <w:color w:val="000000"/>
              </w:rPr>
              <w:t xml:space="preserve"> </w:t>
            </w:r>
          </w:p>
        </w:tc>
      </w:tr>
      <w:tr w:rsidR="009447BB" w14:paraId="5A233068" w14:textId="77777777" w:rsidTr="006D5A4D">
        <w:trPr>
          <w:trHeight w:val="216"/>
          <w:tblCellSpacing w:w="6" w:type="dxa"/>
        </w:trPr>
        <w:tc>
          <w:tcPr>
            <w:tcW w:w="6876" w:type="dxa"/>
            <w:tcBorders>
              <w:top w:val="nil"/>
              <w:left w:val="double" w:sz="6" w:space="0" w:color="000001"/>
              <w:bottom w:val="single" w:sz="8" w:space="0" w:color="000001"/>
              <w:right w:val="single" w:sz="8" w:space="0" w:color="000001"/>
            </w:tcBorders>
            <w:tcMar>
              <w:top w:w="0" w:type="dxa"/>
              <w:left w:w="11" w:type="dxa"/>
              <w:bottom w:w="0" w:type="dxa"/>
              <w:right w:w="11" w:type="dxa"/>
            </w:tcMar>
            <w:vAlign w:val="bottom"/>
            <w:hideMark/>
          </w:tcPr>
          <w:p w14:paraId="4C663B18" w14:textId="77777777" w:rsidR="009447BB" w:rsidRDefault="009447BB" w:rsidP="006D5A4D">
            <w:pPr>
              <w:spacing w:before="100" w:beforeAutospacing="1" w:after="142" w:line="216" w:lineRule="atLeast"/>
              <w:rPr>
                <w:rFonts w:eastAsiaTheme="minorHAnsi"/>
              </w:rPr>
            </w:pPr>
            <w:r>
              <w:rPr>
                <w:rFonts w:ascii="Tahoma" w:hAnsi="Tahoma" w:cs="Tahoma"/>
                <w:color w:val="000000"/>
              </w:rPr>
              <w:t>accertati nella gestione di competenza anno 2020</w:t>
            </w:r>
          </w:p>
        </w:tc>
        <w:tc>
          <w:tcPr>
            <w:tcW w:w="2088" w:type="dxa"/>
            <w:tcBorders>
              <w:top w:val="nil"/>
              <w:left w:val="nil"/>
              <w:bottom w:val="single" w:sz="8" w:space="0" w:color="000001"/>
              <w:right w:val="double" w:sz="6" w:space="0" w:color="000001"/>
            </w:tcBorders>
            <w:tcMar>
              <w:top w:w="0" w:type="dxa"/>
              <w:left w:w="0" w:type="dxa"/>
              <w:bottom w:w="0" w:type="dxa"/>
              <w:right w:w="11" w:type="dxa"/>
            </w:tcMar>
            <w:vAlign w:val="bottom"/>
            <w:hideMark/>
          </w:tcPr>
          <w:p w14:paraId="08F5D619" w14:textId="56868486" w:rsidR="009447BB" w:rsidRDefault="009447BB" w:rsidP="006D5A4D">
            <w:pPr>
              <w:spacing w:before="100" w:beforeAutospacing="1" w:after="142" w:line="216" w:lineRule="atLeast"/>
              <w:jc w:val="right"/>
              <w:rPr>
                <w:rFonts w:eastAsiaTheme="minorHAnsi"/>
              </w:rPr>
            </w:pPr>
            <w:r>
              <w:rPr>
                <w:color w:val="000000"/>
              </w:rPr>
              <w:t>€ 17</w:t>
            </w:r>
            <w:r w:rsidR="00E36941">
              <w:rPr>
                <w:color w:val="000000"/>
              </w:rPr>
              <w:t>6</w:t>
            </w:r>
            <w:r>
              <w:rPr>
                <w:color w:val="000000"/>
              </w:rPr>
              <w:t>.</w:t>
            </w:r>
            <w:r w:rsidR="00E36941">
              <w:rPr>
                <w:color w:val="000000"/>
              </w:rPr>
              <w:t>028,59</w:t>
            </w:r>
            <w:r>
              <w:rPr>
                <w:rFonts w:ascii="Tahoma" w:hAnsi="Tahoma" w:cs="Tahoma"/>
                <w:color w:val="000000"/>
              </w:rPr>
              <w:t xml:space="preserve"> </w:t>
            </w:r>
          </w:p>
        </w:tc>
      </w:tr>
      <w:tr w:rsidR="009447BB" w14:paraId="4A1145FD" w14:textId="77777777" w:rsidTr="006D5A4D">
        <w:trPr>
          <w:trHeight w:val="228"/>
          <w:tblCellSpacing w:w="6" w:type="dxa"/>
        </w:trPr>
        <w:tc>
          <w:tcPr>
            <w:tcW w:w="6876" w:type="dxa"/>
            <w:tcBorders>
              <w:top w:val="nil"/>
              <w:left w:val="double" w:sz="6" w:space="0" w:color="000001"/>
              <w:bottom w:val="double" w:sz="6" w:space="0" w:color="000001"/>
              <w:right w:val="nil"/>
            </w:tcBorders>
            <w:tcMar>
              <w:top w:w="0" w:type="dxa"/>
              <w:left w:w="11" w:type="dxa"/>
              <w:bottom w:w="0" w:type="dxa"/>
              <w:right w:w="0" w:type="dxa"/>
            </w:tcMar>
            <w:vAlign w:val="bottom"/>
            <w:hideMark/>
          </w:tcPr>
          <w:p w14:paraId="1304EFE2" w14:textId="77777777" w:rsidR="009447BB" w:rsidRDefault="009447BB" w:rsidP="006D5A4D">
            <w:pPr>
              <w:spacing w:before="100" w:beforeAutospacing="1" w:after="142" w:line="228" w:lineRule="atLeast"/>
              <w:rPr>
                <w:rFonts w:eastAsiaTheme="minorHAnsi"/>
              </w:rPr>
            </w:pPr>
            <w:r>
              <w:rPr>
                <w:rFonts w:ascii="Tahoma" w:hAnsi="Tahoma" w:cs="Tahoma"/>
                <w:b/>
                <w:bCs/>
                <w:color w:val="000000"/>
              </w:rPr>
              <w:t>TOTALE</w:t>
            </w:r>
          </w:p>
        </w:tc>
        <w:tc>
          <w:tcPr>
            <w:tcW w:w="2088" w:type="dxa"/>
            <w:tcBorders>
              <w:top w:val="nil"/>
              <w:left w:val="single" w:sz="8" w:space="0" w:color="000001"/>
              <w:bottom w:val="double" w:sz="6" w:space="0" w:color="000001"/>
              <w:right w:val="double" w:sz="6" w:space="0" w:color="000001"/>
            </w:tcBorders>
            <w:tcMar>
              <w:top w:w="0" w:type="dxa"/>
              <w:left w:w="11" w:type="dxa"/>
              <w:bottom w:w="0" w:type="dxa"/>
              <w:right w:w="11" w:type="dxa"/>
            </w:tcMar>
            <w:vAlign w:val="bottom"/>
            <w:hideMark/>
          </w:tcPr>
          <w:p w14:paraId="3F736C5F" w14:textId="519DB733" w:rsidR="009447BB" w:rsidRDefault="009447BB" w:rsidP="006D5A4D">
            <w:pPr>
              <w:spacing w:before="100" w:beforeAutospacing="1" w:after="142" w:line="228" w:lineRule="atLeast"/>
              <w:jc w:val="right"/>
              <w:rPr>
                <w:rFonts w:eastAsiaTheme="minorHAnsi"/>
              </w:rPr>
            </w:pPr>
            <w:r>
              <w:rPr>
                <w:color w:val="000000"/>
              </w:rPr>
              <w:t xml:space="preserve">€ </w:t>
            </w:r>
            <w:r w:rsidR="00E36941">
              <w:rPr>
                <w:color w:val="000000"/>
              </w:rPr>
              <w:t>299.707,51</w:t>
            </w:r>
            <w:r>
              <w:rPr>
                <w:rFonts w:ascii="Tahoma" w:hAnsi="Tahoma" w:cs="Tahoma"/>
                <w:color w:val="000000"/>
              </w:rPr>
              <w:t xml:space="preserve"> </w:t>
            </w:r>
          </w:p>
        </w:tc>
      </w:tr>
    </w:tbl>
    <w:p w14:paraId="13B6CDB5" w14:textId="77777777" w:rsidR="009447BB" w:rsidRPr="00963E7E" w:rsidRDefault="009447BB" w:rsidP="009447BB">
      <w:pPr>
        <w:jc w:val="both"/>
        <w:rPr>
          <w:rFonts w:ascii="Tahoma" w:hAnsi="Tahoma" w:cs="Tahoma"/>
        </w:rPr>
      </w:pPr>
    </w:p>
    <w:p w14:paraId="66FE6794" w14:textId="77777777" w:rsidR="009447BB" w:rsidRDefault="009447BB" w:rsidP="009447BB">
      <w:pPr>
        <w:jc w:val="both"/>
        <w:rPr>
          <w:rFonts w:ascii="Tahoma" w:hAnsi="Tahoma" w:cs="Tahoma"/>
        </w:rPr>
      </w:pPr>
    </w:p>
    <w:p w14:paraId="48D875E7" w14:textId="77777777" w:rsidR="009447BB" w:rsidRDefault="009447BB" w:rsidP="009447BB">
      <w:pPr>
        <w:jc w:val="center"/>
        <w:rPr>
          <w:rFonts w:ascii="Tahoma" w:hAnsi="Tahoma" w:cs="Tahoma"/>
        </w:rPr>
      </w:pPr>
    </w:p>
    <w:p w14:paraId="332FF04B" w14:textId="77777777" w:rsidR="009447BB" w:rsidRDefault="009447BB" w:rsidP="009447BB">
      <w:pPr>
        <w:jc w:val="center"/>
        <w:rPr>
          <w:rFonts w:ascii="Tahoma" w:hAnsi="Tahoma" w:cs="Tahoma"/>
        </w:rPr>
      </w:pPr>
    </w:p>
    <w:p w14:paraId="51222AC3" w14:textId="77777777" w:rsidR="009447BB" w:rsidRDefault="009447BB" w:rsidP="009447BB">
      <w:pPr>
        <w:jc w:val="center"/>
        <w:rPr>
          <w:rFonts w:ascii="Tahoma" w:hAnsi="Tahoma" w:cs="Tahoma"/>
        </w:rPr>
      </w:pPr>
    </w:p>
    <w:p w14:paraId="26CF598D" w14:textId="77777777" w:rsidR="009447BB" w:rsidRDefault="009447BB" w:rsidP="009447BB">
      <w:pPr>
        <w:jc w:val="center"/>
        <w:rPr>
          <w:rFonts w:ascii="Tahoma" w:hAnsi="Tahoma" w:cs="Tahoma"/>
        </w:rPr>
      </w:pPr>
      <w:r>
        <w:rPr>
          <w:rFonts w:ascii="Tahoma" w:hAnsi="Tahoma" w:cs="Tahoma"/>
        </w:rPr>
        <w:t>IL RESPONSABILE DEL SERVIZIO FINANZIARIO</w:t>
      </w:r>
    </w:p>
    <w:p w14:paraId="7BAB4079" w14:textId="77777777" w:rsidR="009447BB" w:rsidRDefault="009447BB" w:rsidP="009447BB">
      <w:pPr>
        <w:jc w:val="center"/>
        <w:rPr>
          <w:rFonts w:ascii="Tahoma" w:hAnsi="Tahoma" w:cs="Tahoma"/>
        </w:rPr>
      </w:pPr>
    </w:p>
    <w:p w14:paraId="73D56262" w14:textId="77777777" w:rsidR="009447BB" w:rsidRDefault="009447BB" w:rsidP="009447BB">
      <w:pPr>
        <w:jc w:val="center"/>
        <w:rPr>
          <w:rFonts w:ascii="Tahoma" w:hAnsi="Tahoma" w:cs="Tahoma"/>
        </w:rPr>
      </w:pPr>
    </w:p>
    <w:p w14:paraId="5C2C3054" w14:textId="77777777" w:rsidR="009447BB" w:rsidRDefault="009447BB" w:rsidP="009447BB">
      <w:pPr>
        <w:jc w:val="both"/>
        <w:rPr>
          <w:rFonts w:ascii="Tahoma" w:hAnsi="Tahoma" w:cs="Tahoma"/>
        </w:rPr>
      </w:pPr>
      <w:r>
        <w:rPr>
          <w:rFonts w:ascii="Tahoma" w:hAnsi="Tahoma" w:cs="Tahoma"/>
        </w:rPr>
        <w:t>Esprime parere favorevole all’adozione della deliberazione di riaccertamento dei residui attivi e passivi alla data del 31/12/2020.</w:t>
      </w:r>
    </w:p>
    <w:p w14:paraId="2646E18E" w14:textId="77777777" w:rsidR="009447BB" w:rsidRDefault="009447BB" w:rsidP="009447BB">
      <w:pPr>
        <w:jc w:val="both"/>
        <w:rPr>
          <w:rFonts w:ascii="Tahoma" w:hAnsi="Tahoma" w:cs="Tahoma"/>
        </w:rPr>
      </w:pPr>
    </w:p>
    <w:p w14:paraId="0847D2AA" w14:textId="77777777" w:rsidR="009447BB" w:rsidRDefault="009447BB" w:rsidP="009447BB">
      <w:pPr>
        <w:jc w:val="both"/>
        <w:rPr>
          <w:rFonts w:ascii="Tahoma" w:hAnsi="Tahoma" w:cs="Tahoma"/>
        </w:rPr>
      </w:pPr>
    </w:p>
    <w:p w14:paraId="46698193" w14:textId="77777777" w:rsidR="009447BB" w:rsidRDefault="009447BB" w:rsidP="009447BB">
      <w:pPr>
        <w:jc w:val="both"/>
        <w:rPr>
          <w:rFonts w:ascii="Tahoma" w:hAnsi="Tahoma" w:cs="Tahoma"/>
        </w:rPr>
      </w:pPr>
    </w:p>
    <w:p w14:paraId="589CB89F" w14:textId="0AEFB7D2" w:rsidR="009447BB" w:rsidRDefault="009447BB" w:rsidP="009447BB">
      <w:pPr>
        <w:jc w:val="both"/>
        <w:rPr>
          <w:rFonts w:ascii="Tahoma" w:hAnsi="Tahoma" w:cs="Tahoma"/>
        </w:rPr>
      </w:pPr>
      <w:r>
        <w:rPr>
          <w:rFonts w:ascii="Tahoma" w:hAnsi="Tahoma" w:cs="Tahoma"/>
        </w:rPr>
        <w:t xml:space="preserve">Mandello Vitta ,  </w:t>
      </w:r>
      <w:r w:rsidR="00890E02">
        <w:rPr>
          <w:rFonts w:ascii="Tahoma" w:hAnsi="Tahoma" w:cs="Tahoma"/>
        </w:rPr>
        <w:t>22</w:t>
      </w:r>
      <w:r>
        <w:rPr>
          <w:rFonts w:ascii="Tahoma" w:hAnsi="Tahoma" w:cs="Tahoma"/>
        </w:rPr>
        <w:t>/</w:t>
      </w:r>
      <w:r w:rsidR="00890E02">
        <w:rPr>
          <w:rFonts w:ascii="Tahoma" w:hAnsi="Tahoma" w:cs="Tahoma"/>
        </w:rPr>
        <w:t>2</w:t>
      </w:r>
      <w:r>
        <w:rPr>
          <w:rFonts w:ascii="Tahoma" w:hAnsi="Tahoma" w:cs="Tahoma"/>
        </w:rPr>
        <w:t>/2021</w:t>
      </w:r>
    </w:p>
    <w:p w14:paraId="0F638BE6" w14:textId="77777777" w:rsidR="009447BB" w:rsidRPr="00963E7E" w:rsidRDefault="009447BB" w:rsidP="009447BB">
      <w:pPr>
        <w:jc w:val="both"/>
        <w:rPr>
          <w:rFonts w:ascii="Tahoma" w:hAnsi="Tahoma" w:cs="Tahoma"/>
        </w:rPr>
      </w:pPr>
      <w:r>
        <w:tab/>
      </w:r>
      <w:r>
        <w:tab/>
      </w:r>
      <w:r>
        <w:tab/>
      </w:r>
      <w:r>
        <w:tab/>
      </w:r>
      <w:r>
        <w:tab/>
        <w:t xml:space="preserve">                </w:t>
      </w:r>
      <w:r w:rsidRPr="00963E7E">
        <w:rPr>
          <w:rFonts w:ascii="Tahoma" w:hAnsi="Tahoma" w:cs="Tahoma"/>
        </w:rPr>
        <w:t>IL RESPONSABILE SERVIZIO FINANZIARIO</w:t>
      </w:r>
    </w:p>
    <w:p w14:paraId="78FAABC0" w14:textId="77777777" w:rsidR="009447BB" w:rsidRPr="00963E7E" w:rsidRDefault="009447BB" w:rsidP="009447BB">
      <w:pPr>
        <w:jc w:val="both"/>
      </w:pPr>
      <w:r w:rsidRPr="00963E7E">
        <w:rPr>
          <w:rFonts w:ascii="Tahoma" w:hAnsi="Tahoma" w:cs="Tahoma"/>
        </w:rPr>
        <w:t xml:space="preserve">                     </w:t>
      </w:r>
      <w:r>
        <w:rPr>
          <w:rFonts w:ascii="Tahoma" w:hAnsi="Tahoma" w:cs="Tahoma"/>
        </w:rPr>
        <w:t xml:space="preserve">                        </w:t>
      </w:r>
      <w:r>
        <w:rPr>
          <w:rFonts w:ascii="Tahoma" w:hAnsi="Tahoma" w:cs="Tahoma"/>
        </w:rPr>
        <w:tab/>
      </w:r>
      <w:r>
        <w:rPr>
          <w:rFonts w:ascii="Tahoma" w:hAnsi="Tahoma" w:cs="Tahoma"/>
        </w:rPr>
        <w:tab/>
      </w:r>
      <w:r>
        <w:rPr>
          <w:rFonts w:ascii="Tahoma" w:hAnsi="Tahoma" w:cs="Tahoma"/>
        </w:rPr>
        <w:tab/>
        <w:t xml:space="preserve">    </w:t>
      </w:r>
      <w:r w:rsidRPr="00963E7E">
        <w:rPr>
          <w:rFonts w:ascii="Tahoma" w:hAnsi="Tahoma" w:cs="Tahoma"/>
        </w:rPr>
        <w:t xml:space="preserve">  (</w:t>
      </w:r>
      <w:r>
        <w:rPr>
          <w:rFonts w:ascii="Tahoma" w:hAnsi="Tahoma" w:cs="Tahoma"/>
        </w:rPr>
        <w:t>Patrioli Giuliana</w:t>
      </w:r>
      <w:r>
        <w:t>)</w:t>
      </w:r>
    </w:p>
    <w:p w14:paraId="040DE1C3" w14:textId="77777777" w:rsidR="00F96763" w:rsidRDefault="00F96763"/>
    <w:sectPr w:rsidR="00F967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Sans">
    <w:altName w:val="Century Gothic"/>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D20E1E"/>
    <w:multiLevelType w:val="multilevel"/>
    <w:tmpl w:val="FF4E17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7BB"/>
    <w:rsid w:val="00890E02"/>
    <w:rsid w:val="009447BB"/>
    <w:rsid w:val="00E36941"/>
    <w:rsid w:val="00F967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8F15F"/>
  <w15:chartTrackingRefBased/>
  <w15:docId w15:val="{285162F6-C3B6-4A79-BC3A-51E77A2E8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47BB"/>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qFormat/>
    <w:rsid w:val="009447BB"/>
    <w:pPr>
      <w:keepNext/>
      <w:widowControl w:val="0"/>
      <w:tabs>
        <w:tab w:val="left" w:leader="dot" w:pos="-12168"/>
        <w:tab w:val="left" w:pos="-8200"/>
        <w:tab w:val="left" w:pos="-64"/>
        <w:tab w:val="left" w:pos="0"/>
        <w:tab w:val="left" w:pos="61"/>
        <w:tab w:val="left" w:pos="26544"/>
        <w:tab w:val="left" w:pos="29172"/>
      </w:tabs>
      <w:autoSpaceDE w:val="0"/>
      <w:autoSpaceDN w:val="0"/>
      <w:jc w:val="both"/>
      <w:outlineLvl w:val="1"/>
    </w:pPr>
    <w:rPr>
      <w:rFonts w:ascii="GillSans" w:hAnsi="GillSans"/>
      <w:b/>
      <w:bCs/>
      <w:sz w:val="12"/>
      <w:szCs w:val="12"/>
    </w:rPr>
  </w:style>
  <w:style w:type="paragraph" w:styleId="Titolo3">
    <w:name w:val="heading 3"/>
    <w:basedOn w:val="Normale"/>
    <w:next w:val="Normale"/>
    <w:link w:val="Titolo3Carattere"/>
    <w:qFormat/>
    <w:rsid w:val="009447BB"/>
    <w:pPr>
      <w:keepNext/>
      <w:jc w:val="center"/>
      <w:outlineLvl w:val="2"/>
    </w:pPr>
    <w:rPr>
      <w:rFonts w:ascii="Arial" w:hAnsi="Arial" w:cs="Arial"/>
      <w:b/>
      <w:b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9447BB"/>
    <w:rPr>
      <w:rFonts w:ascii="GillSans" w:eastAsia="Times New Roman" w:hAnsi="GillSans" w:cs="Times New Roman"/>
      <w:b/>
      <w:bCs/>
      <w:sz w:val="12"/>
      <w:szCs w:val="12"/>
      <w:lang w:eastAsia="it-IT"/>
    </w:rPr>
  </w:style>
  <w:style w:type="character" w:customStyle="1" w:styleId="Titolo3Carattere">
    <w:name w:val="Titolo 3 Carattere"/>
    <w:basedOn w:val="Carpredefinitoparagrafo"/>
    <w:link w:val="Titolo3"/>
    <w:rsid w:val="009447BB"/>
    <w:rPr>
      <w:rFonts w:ascii="Arial" w:eastAsia="Times New Roman" w:hAnsi="Arial" w:cs="Arial"/>
      <w:b/>
      <w:bCs/>
      <w:sz w:val="20"/>
      <w:szCs w:val="24"/>
      <w:lang w:eastAsia="it-IT"/>
    </w:rPr>
  </w:style>
  <w:style w:type="paragraph" w:styleId="NormaleWeb">
    <w:name w:val="Normal (Web)"/>
    <w:basedOn w:val="Normale"/>
    <w:uiPriority w:val="99"/>
    <w:unhideWhenUsed/>
    <w:rsid w:val="009447BB"/>
    <w:pPr>
      <w:spacing w:before="100" w:beforeAutospacing="1" w:after="142"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Giuliana</dc:creator>
  <cp:keywords/>
  <dc:description/>
  <cp:lastModifiedBy>Giuliana</cp:lastModifiedBy>
  <cp:revision>3</cp:revision>
  <dcterms:created xsi:type="dcterms:W3CDTF">2021-04-07T08:35:00Z</dcterms:created>
  <dcterms:modified xsi:type="dcterms:W3CDTF">2021-04-12T07:50:00Z</dcterms:modified>
</cp:coreProperties>
</file>